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8FAA" w14:textId="59A89089" w:rsidR="00B16B3B" w:rsidRPr="00A30403" w:rsidRDefault="00A30403" w:rsidP="00A30403">
      <w:pPr>
        <w:snapToGrid w:val="0"/>
        <w:jc w:val="center"/>
        <w:rPr>
          <w:rFonts w:ascii="Times New Roman" w:eastAsia="標楷體" w:hAnsi="Times New Roman"/>
          <w:sz w:val="32"/>
          <w:szCs w:val="28"/>
        </w:rPr>
      </w:pPr>
      <w:proofErr w:type="gramStart"/>
      <w:r>
        <w:rPr>
          <w:rFonts w:ascii="Times New Roman" w:eastAsia="標楷體" w:hAnsi="Times New Roman" w:hint="eastAsia"/>
          <w:sz w:val="32"/>
          <w:szCs w:val="28"/>
        </w:rPr>
        <w:t>轉直供網頁</w:t>
      </w:r>
      <w:proofErr w:type="gramEnd"/>
      <w:r>
        <w:rPr>
          <w:rFonts w:ascii="Times New Roman" w:eastAsia="標楷體" w:hAnsi="Times New Roman" w:hint="eastAsia"/>
          <w:sz w:val="32"/>
          <w:szCs w:val="28"/>
        </w:rPr>
        <w:t>Q&amp;A</w:t>
      </w:r>
      <w:r>
        <w:rPr>
          <w:rFonts w:ascii="Times New Roman" w:eastAsia="標楷體" w:hAnsi="Times New Roman" w:hint="eastAsia"/>
          <w:sz w:val="32"/>
          <w:szCs w:val="28"/>
        </w:rPr>
        <w:t>題庫資料</w:t>
      </w:r>
    </w:p>
    <w:p w14:paraId="122D85C9" w14:textId="15707644" w:rsidR="00A30403" w:rsidRDefault="00A30403" w:rsidP="00A30403">
      <w:pPr>
        <w:snapToGrid w:val="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111</w:t>
      </w:r>
      <w:r w:rsidR="00051837">
        <w:rPr>
          <w:rFonts w:ascii="Times New Roman" w:eastAsia="標楷體" w:hAnsi="Times New Roman" w:hint="eastAsia"/>
        </w:rPr>
        <w:t>.3.</w:t>
      </w:r>
      <w:r w:rsidR="007176AD">
        <w:rPr>
          <w:rFonts w:ascii="Times New Roman" w:eastAsia="標楷體" w:hAnsi="Times New Roman" w:hint="eastAsia"/>
        </w:rPr>
        <w:t>7</w:t>
      </w:r>
      <w:r>
        <w:rPr>
          <w:rFonts w:ascii="Times New Roman" w:eastAsia="標楷體" w:hAnsi="Times New Roman" w:hint="eastAsia"/>
        </w:rPr>
        <w:t>製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2829"/>
        <w:gridCol w:w="5650"/>
      </w:tblGrid>
      <w:tr w:rsidR="002D1940" w14:paraId="385FFB21" w14:textId="77777777" w:rsidTr="00773562">
        <w:tc>
          <w:tcPr>
            <w:tcW w:w="845" w:type="dxa"/>
            <w:shd w:val="clear" w:color="auto" w:fill="EDEDED" w:themeFill="accent3" w:themeFillTint="33"/>
            <w:vAlign w:val="center"/>
          </w:tcPr>
          <w:p w14:paraId="5550697D" w14:textId="088C7EBA" w:rsidR="002D1940" w:rsidRPr="002D1940" w:rsidRDefault="002D1940" w:rsidP="002D1940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項目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08EBC3D8" w14:textId="45E46B0F" w:rsidR="002D1940" w:rsidRPr="002D1940" w:rsidRDefault="002D1940" w:rsidP="002D1940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問題</w:t>
            </w:r>
          </w:p>
        </w:tc>
        <w:tc>
          <w:tcPr>
            <w:tcW w:w="5650" w:type="dxa"/>
            <w:shd w:val="clear" w:color="auto" w:fill="EDEDED" w:themeFill="accent3" w:themeFillTint="33"/>
            <w:vAlign w:val="center"/>
          </w:tcPr>
          <w:p w14:paraId="57C4EA5E" w14:textId="44107CB4" w:rsidR="002D1940" w:rsidRPr="002D1940" w:rsidRDefault="002D1940" w:rsidP="002D1940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答覆</w:t>
            </w:r>
          </w:p>
        </w:tc>
      </w:tr>
      <w:tr w:rsidR="002D1940" w14:paraId="440B9E9C" w14:textId="77777777" w:rsidTr="00773562">
        <w:tc>
          <w:tcPr>
            <w:tcW w:w="845" w:type="dxa"/>
            <w:vAlign w:val="center"/>
          </w:tcPr>
          <w:p w14:paraId="3B9C6A8E" w14:textId="0BA95E37" w:rsidR="003E1EA1" w:rsidRPr="002D1940" w:rsidRDefault="003E1EA1" w:rsidP="003E1EA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7AB0A093" w14:textId="3D564509" w:rsidR="002D1940" w:rsidRPr="002D1940" w:rsidRDefault="002D1940" w:rsidP="002D1940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什麼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4"/>
              </w:rPr>
              <w:t>是綠電憑證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4"/>
              </w:rPr>
              <w:t>？</w:t>
            </w:r>
          </w:p>
        </w:tc>
        <w:tc>
          <w:tcPr>
            <w:tcW w:w="5650" w:type="dxa"/>
            <w:vAlign w:val="center"/>
          </w:tcPr>
          <w:p w14:paraId="6231FCE1" w14:textId="6EFABC51" w:rsidR="00B454F5" w:rsidRDefault="002D1940" w:rsidP="002D1940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綠電憑證</w:t>
            </w:r>
            <w:proofErr w:type="gramEnd"/>
            <w:r w:rsidR="00CB71C6">
              <w:rPr>
                <w:rFonts w:ascii="Times New Roman" w:eastAsia="標楷體" w:hAnsi="Times New Roman" w:hint="eastAsia"/>
                <w:sz w:val="28"/>
                <w:szCs w:val="24"/>
              </w:rPr>
              <w:t>即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再生能源憑證（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REC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），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如綠電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之身分證</w:t>
            </w:r>
            <w:r w:rsidR="00B454F5">
              <w:rPr>
                <w:rFonts w:ascii="Times New Roman" w:eastAsia="標楷體" w:hAnsi="Times New Roman" w:hint="eastAsia"/>
                <w:sz w:val="28"/>
                <w:szCs w:val="24"/>
              </w:rPr>
              <w:t>，依據</w:t>
            </w:r>
            <w:r w:rsidR="00435CB8">
              <w:rPr>
                <w:rFonts w:ascii="Times New Roman" w:eastAsia="標楷體" w:hAnsi="Times New Roman" w:hint="eastAsia"/>
                <w:sz w:val="28"/>
                <w:szCs w:val="24"/>
              </w:rPr>
              <w:t>「</w:t>
            </w:r>
            <w:r w:rsidR="00B454F5">
              <w:rPr>
                <w:rFonts w:ascii="Times New Roman" w:eastAsia="標楷體" w:hAnsi="Times New Roman" w:hint="eastAsia"/>
                <w:sz w:val="28"/>
                <w:szCs w:val="24"/>
              </w:rPr>
              <w:t>再生能源憑證實施辦法</w:t>
            </w:r>
            <w:r w:rsidR="00435CB8">
              <w:rPr>
                <w:rFonts w:ascii="Times New Roman" w:eastAsia="標楷體" w:hAnsi="Times New Roman" w:hint="eastAsia"/>
                <w:sz w:val="28"/>
                <w:szCs w:val="24"/>
              </w:rPr>
              <w:t>」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，</w:t>
            </w:r>
            <w:r w:rsidR="00B454F5">
              <w:rPr>
                <w:rFonts w:ascii="Times New Roman" w:eastAsia="標楷體" w:hAnsi="Times New Roman" w:hint="eastAsia"/>
                <w:sz w:val="28"/>
                <w:szCs w:val="24"/>
              </w:rPr>
              <w:t>本國再生能源憑證（</w:t>
            </w:r>
            <w:r w:rsidR="00B454F5">
              <w:rPr>
                <w:rFonts w:ascii="Times New Roman" w:eastAsia="標楷體" w:hAnsi="Times New Roman" w:hint="eastAsia"/>
                <w:sz w:val="28"/>
                <w:szCs w:val="24"/>
              </w:rPr>
              <w:t>T-REC</w:t>
            </w:r>
            <w:r w:rsidR="00B454F5">
              <w:rPr>
                <w:rFonts w:ascii="Times New Roman" w:eastAsia="標楷體" w:hAnsi="Times New Roman" w:hint="eastAsia"/>
                <w:sz w:val="28"/>
                <w:szCs w:val="24"/>
              </w:rPr>
              <w:t>）係指經濟部標準檢驗局國家再生能源憑證中心</w:t>
            </w:r>
            <w:r w:rsidR="00B454F5" w:rsidRPr="00B454F5">
              <w:rPr>
                <w:rFonts w:ascii="Times New Roman" w:eastAsia="標楷體" w:hAnsi="Times New Roman" w:hint="eastAsia"/>
                <w:sz w:val="28"/>
                <w:szCs w:val="24"/>
              </w:rPr>
              <w:t>辦理</w:t>
            </w:r>
            <w:r w:rsidR="00435CB8">
              <w:rPr>
                <w:rFonts w:ascii="Times New Roman" w:eastAsia="標楷體" w:hAnsi="Times New Roman" w:hint="eastAsia"/>
                <w:sz w:val="28"/>
                <w:szCs w:val="24"/>
              </w:rPr>
              <w:t>再生能源</w:t>
            </w:r>
            <w:r w:rsidR="00B454F5" w:rsidRPr="00B454F5">
              <w:rPr>
                <w:rFonts w:ascii="Times New Roman" w:eastAsia="標楷體" w:hAnsi="Times New Roman" w:hint="eastAsia"/>
                <w:sz w:val="28"/>
                <w:szCs w:val="24"/>
              </w:rPr>
              <w:t>發電設備查核及電量查證後所核發之憑證。</w:t>
            </w:r>
          </w:p>
          <w:p w14:paraId="3E0CD0B2" w14:textId="6652A3A9" w:rsidR="002D1940" w:rsidRDefault="00435CB8" w:rsidP="00BD0A68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再生能源憑證具環境效益具體化特性，可依各主管機關相關規範，應用於溫室氣體盤查、企業社會責任報告書及環保標章等</w:t>
            </w:r>
            <w:r w:rsidR="00BD0A68"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14:paraId="373F3CC3" w14:textId="77777777" w:rsidR="00435CB8" w:rsidRDefault="00435CB8" w:rsidP="00BD0A68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435CB8">
              <w:rPr>
                <w:rFonts w:ascii="Times New Roman" w:eastAsia="標楷體" w:hAnsi="Times New Roman" w:hint="eastAsia"/>
                <w:sz w:val="28"/>
                <w:szCs w:val="24"/>
              </w:rPr>
              <w:t>詳細綠電憑證</w:t>
            </w:r>
            <w:proofErr w:type="gramEnd"/>
            <w:r w:rsidRPr="00435CB8">
              <w:rPr>
                <w:rFonts w:ascii="Times New Roman" w:eastAsia="標楷體" w:hAnsi="Times New Roman" w:hint="eastAsia"/>
                <w:sz w:val="28"/>
                <w:szCs w:val="24"/>
              </w:rPr>
              <w:t>資訊可至「國家再生能源憑證中心」網站瞭解。</w:t>
            </w:r>
          </w:p>
          <w:p w14:paraId="0B165602" w14:textId="77777777" w:rsidR="00435CB8" w:rsidRPr="00435CB8" w:rsidRDefault="00435CB8" w:rsidP="00435CB8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16"/>
                <w:szCs w:val="14"/>
              </w:rPr>
            </w:pPr>
          </w:p>
          <w:p w14:paraId="650D232F" w14:textId="4B584FBF" w:rsidR="00435CB8" w:rsidRPr="00435CB8" w:rsidRDefault="00435CB8" w:rsidP="00435CB8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35CB8">
              <w:rPr>
                <w:rFonts w:ascii="Times New Roman" w:eastAsia="標楷體" w:hAnsi="Times New Roman" w:hint="eastAsia"/>
                <w:sz w:val="28"/>
                <w:szCs w:val="24"/>
              </w:rPr>
              <w:t>相關連結：</w:t>
            </w:r>
            <w:hyperlink r:id="rId6" w:history="1">
              <w:r w:rsidRPr="00435CB8">
                <w:rPr>
                  <w:rStyle w:val="a8"/>
                  <w:rFonts w:ascii="Times New Roman" w:eastAsia="標楷體" w:hAnsi="Times New Roman" w:hint="eastAsia"/>
                  <w:sz w:val="28"/>
                  <w:szCs w:val="24"/>
                </w:rPr>
                <w:t>國家再生能源憑證中心</w:t>
              </w:r>
              <w:r w:rsidRPr="00435CB8">
                <w:rPr>
                  <w:rStyle w:val="a8"/>
                  <w:rFonts w:ascii="Times New Roman" w:eastAsia="標楷體" w:hAnsi="Times New Roman" w:hint="eastAsia"/>
                  <w:sz w:val="28"/>
                  <w:szCs w:val="24"/>
                </w:rPr>
                <w:t>(</w:t>
              </w:r>
              <w:r w:rsidRPr="00435CB8">
                <w:rPr>
                  <w:rStyle w:val="a8"/>
                  <w:rFonts w:ascii="Times New Roman" w:eastAsia="標楷體" w:hAnsi="Times New Roman" w:hint="eastAsia"/>
                  <w:sz w:val="28"/>
                  <w:szCs w:val="24"/>
                </w:rPr>
                <w:t>另開視窗</w:t>
              </w:r>
              <w:r w:rsidRPr="00435CB8">
                <w:rPr>
                  <w:rStyle w:val="a8"/>
                  <w:rFonts w:ascii="Times New Roman" w:eastAsia="標楷體" w:hAnsi="Times New Roman" w:hint="eastAsia"/>
                  <w:sz w:val="28"/>
                  <w:szCs w:val="24"/>
                </w:rPr>
                <w:t>)</w:t>
              </w:r>
            </w:hyperlink>
          </w:p>
        </w:tc>
      </w:tr>
      <w:tr w:rsidR="002D1940" w14:paraId="2A680806" w14:textId="77777777" w:rsidTr="00773562">
        <w:tc>
          <w:tcPr>
            <w:tcW w:w="845" w:type="dxa"/>
            <w:vAlign w:val="center"/>
          </w:tcPr>
          <w:p w14:paraId="0CD0AD07" w14:textId="64C933AE" w:rsidR="002D1940" w:rsidRPr="002D1940" w:rsidRDefault="003E1EA1" w:rsidP="002D1940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3C8A9DAA" w14:textId="332BBB6B" w:rsidR="002D1940" w:rsidRPr="002D1940" w:rsidRDefault="002D1940" w:rsidP="002D1940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什麼是「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4"/>
              </w:rPr>
              <w:t>電證合一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4"/>
              </w:rPr>
              <w:t>」商品？</w:t>
            </w:r>
          </w:p>
        </w:tc>
        <w:tc>
          <w:tcPr>
            <w:tcW w:w="5650" w:type="dxa"/>
            <w:vAlign w:val="center"/>
          </w:tcPr>
          <w:p w14:paraId="2059AC49" w14:textId="5F780C59" w:rsidR="002D1940" w:rsidRPr="002D1940" w:rsidRDefault="002D1940" w:rsidP="002D1940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依據</w:t>
            </w:r>
            <w:r w:rsidR="00435CB8">
              <w:rPr>
                <w:rFonts w:ascii="Times New Roman" w:eastAsia="標楷體" w:hAnsi="Times New Roman" w:hint="eastAsia"/>
                <w:sz w:val="28"/>
                <w:szCs w:val="24"/>
              </w:rPr>
              <w:t>「再生能源憑證實施辦法」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國內綠電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商品共分為「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電證合一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」及「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電證分離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」二類。</w:t>
            </w:r>
          </w:p>
          <w:p w14:paraId="2CCF5E79" w14:textId="2B3322C5" w:rsidR="002D1940" w:rsidRPr="002D1940" w:rsidRDefault="002D1940" w:rsidP="002D1940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電證合一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」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綠電商品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即再生能源電能及憑證為綑綁式銷售模式，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綠電買方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向賣方購買多少電能，即可取得其相對之再生能源憑證（一張憑證為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1,000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度綠電）。</w:t>
            </w:r>
          </w:p>
        </w:tc>
      </w:tr>
      <w:tr w:rsidR="002D1940" w14:paraId="7C52732D" w14:textId="77777777" w:rsidTr="00FE5E19">
        <w:tc>
          <w:tcPr>
            <w:tcW w:w="845" w:type="dxa"/>
            <w:tcBorders>
              <w:bottom w:val="dashed" w:sz="4" w:space="0" w:color="auto"/>
            </w:tcBorders>
            <w:vAlign w:val="center"/>
          </w:tcPr>
          <w:p w14:paraId="74088D44" w14:textId="485F81EA" w:rsidR="003E1EA1" w:rsidRPr="002D1940" w:rsidRDefault="003E1EA1" w:rsidP="003E1EA1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</w:p>
        </w:tc>
        <w:tc>
          <w:tcPr>
            <w:tcW w:w="2829" w:type="dxa"/>
            <w:tcBorders>
              <w:bottom w:val="dashed" w:sz="4" w:space="0" w:color="auto"/>
            </w:tcBorders>
            <w:vAlign w:val="center"/>
          </w:tcPr>
          <w:p w14:paraId="072067A9" w14:textId="7D017D93" w:rsidR="002D1940" w:rsidRPr="002D1940" w:rsidRDefault="002D1940" w:rsidP="002D1940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什麼是「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4"/>
              </w:rPr>
              <w:t>電證分離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4"/>
              </w:rPr>
              <w:t>」商品？</w:t>
            </w:r>
          </w:p>
        </w:tc>
        <w:tc>
          <w:tcPr>
            <w:tcW w:w="5650" w:type="dxa"/>
            <w:tcBorders>
              <w:bottom w:val="dashed" w:sz="4" w:space="0" w:color="auto"/>
            </w:tcBorders>
            <w:vAlign w:val="center"/>
          </w:tcPr>
          <w:p w14:paraId="768C5FF3" w14:textId="33D0B579" w:rsidR="002D1940" w:rsidRPr="002D1940" w:rsidRDefault="002D1940" w:rsidP="002D1940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依據</w:t>
            </w:r>
            <w:r w:rsidR="00435CB8" w:rsidRPr="00435CB8">
              <w:rPr>
                <w:rFonts w:ascii="Times New Roman" w:eastAsia="標楷體" w:hAnsi="Times New Roman" w:hint="eastAsia"/>
                <w:sz w:val="28"/>
                <w:szCs w:val="24"/>
              </w:rPr>
              <w:t>「再生能源憑證實施辦法」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國內綠電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商品共分為「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電證合一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」及「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電證分離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」二類。</w:t>
            </w:r>
          </w:p>
          <w:p w14:paraId="01357EE9" w14:textId="6F4FABFC" w:rsidR="002D1940" w:rsidRPr="002D1940" w:rsidRDefault="002D1940" w:rsidP="002D1940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「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電證分離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」</w:t>
            </w:r>
            <w:proofErr w:type="gramStart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綠電商品</w:t>
            </w:r>
            <w:proofErr w:type="gramEnd"/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係純憑證之銷售模式，再生能源自用發電</w:t>
            </w:r>
            <w:r w:rsidR="00206BA6">
              <w:rPr>
                <w:rFonts w:ascii="Times New Roman" w:eastAsia="標楷體" w:hAnsi="Times New Roman" w:hint="eastAsia"/>
                <w:sz w:val="28"/>
                <w:szCs w:val="24"/>
              </w:rPr>
              <w:t>設備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設置者於其電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能自用後，</w:t>
            </w:r>
            <w:r w:rsidR="007F3EE8">
              <w:rPr>
                <w:rFonts w:ascii="Times New Roman" w:eastAsia="標楷體" w:hAnsi="Times New Roman" w:hint="eastAsia"/>
                <w:sz w:val="28"/>
                <w:szCs w:val="24"/>
              </w:rPr>
              <w:t>得將其未經使用或宣告之憑證讓與其他受讓人</w:t>
            </w:r>
            <w:r w:rsidRPr="002D1940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</w:tc>
      </w:tr>
      <w:tr w:rsidR="00FE5E19" w:rsidRPr="00F60BD1" w14:paraId="2B2F68F7" w14:textId="77777777" w:rsidTr="00F60BD1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4619" w14:textId="32CC0F70" w:rsidR="00FE5E19" w:rsidRDefault="00F60BD1" w:rsidP="003E1EA1">
            <w:pPr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41F0C" w14:textId="5C6DFE53" w:rsidR="00FE5E19" w:rsidRDefault="00F60BD1" w:rsidP="002D1940">
            <w:pPr>
              <w:jc w:val="both"/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/>
                <w:sz w:val="28"/>
                <w:szCs w:val="24"/>
              </w:rPr>
              <w:t>106</w:t>
            </w: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年《電業法》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第一階段</w:t>
            </w: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修法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之革新與輸配電業擔負之任務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9925" w14:textId="77777777" w:rsidR="00F60BD1" w:rsidRPr="00F60BD1" w:rsidRDefault="00F60BD1" w:rsidP="00F60BD1">
            <w:pPr>
              <w:widowControl/>
              <w:spacing w:after="160" w:line="259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主要為放寬過去對再生能源售電的限制。在《電業法》兩階段修法推動下，第一階段先</w:t>
            </w:r>
            <w:proofErr w:type="gramStart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推動綠電自由化</w:t>
            </w:r>
            <w:proofErr w:type="gramEnd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及電網公共化，後續待相關運作及機制成熟後，再啟動第二次修法，逐步完成電業自由化，落實推動我國綠色產業發展。</w:t>
            </w:r>
          </w:p>
          <w:p w14:paraId="032AEBF9" w14:textId="08F2C245" w:rsidR="00F60BD1" w:rsidRPr="00F60BD1" w:rsidRDefault="00F60BD1" w:rsidP="00F60BD1">
            <w:pPr>
              <w:widowControl/>
              <w:spacing w:after="160" w:line="259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就第一階段修法，從不同市場方向分述說明</w:t>
            </w:r>
            <w:r w:rsidRPr="00F60BD1">
              <w:rPr>
                <w:rFonts w:ascii="Times New Roman" w:eastAsia="標楷體" w:hAnsi="Times New Roman"/>
                <w:sz w:val="28"/>
                <w:szCs w:val="24"/>
              </w:rPr>
              <w:t>:</w:t>
            </w:r>
          </w:p>
          <w:p w14:paraId="20AB6688" w14:textId="77777777" w:rsidR="00F60BD1" w:rsidRPr="00F60BD1" w:rsidRDefault="00F60BD1" w:rsidP="00F60BD1">
            <w:pPr>
              <w:widowControl/>
              <w:spacing w:after="160" w:line="259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首先在發電市場部分，</w:t>
            </w:r>
            <w:proofErr w:type="gramStart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採綠能</w:t>
            </w:r>
            <w:proofErr w:type="gramEnd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先行為原則，開放再生能源得透過轉供、</w:t>
            </w:r>
            <w:proofErr w:type="gramStart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直供及</w:t>
            </w:r>
            <w:proofErr w:type="gramEnd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再生能源售電業等方式銷售予用戶。</w:t>
            </w:r>
          </w:p>
          <w:p w14:paraId="6A89364A" w14:textId="77777777" w:rsidR="00F60BD1" w:rsidRPr="00F60BD1" w:rsidRDefault="00F60BD1" w:rsidP="00F60BD1">
            <w:pPr>
              <w:widowControl/>
              <w:spacing w:after="160" w:line="259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在輸配電業部分，則限定為獨占國營，是為確保其電網公平供公眾使用，規範輸配電業應依電業管制機關，所訂定之電力調度原則統籌執行電力調度，以確保所有電業可公平使用電力網，並應依核定費率收取費用。</w:t>
            </w:r>
          </w:p>
          <w:p w14:paraId="2CF49F48" w14:textId="2D0D867F" w:rsidR="00F60BD1" w:rsidRPr="00F60BD1" w:rsidRDefault="00F60BD1" w:rsidP="00F60BD1">
            <w:pPr>
              <w:widowControl/>
              <w:spacing w:after="160" w:line="259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而在售電市場部分，全面開放所有用戶購電選擇權，用戶得自由選擇向公用售電業、再生能源發電業或再生能源售電業購電。</w:t>
            </w:r>
          </w:p>
          <w:p w14:paraId="098CF348" w14:textId="77777777" w:rsidR="00FE5E19" w:rsidRDefault="00F60BD1" w:rsidP="00F60BD1">
            <w:pPr>
              <w:widowControl/>
              <w:spacing w:after="160" w:line="259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輸配電業的現階段任務，即為再生能源發電業和自用發電設備業者生產之電能，透過電力網轉供或直供電能予電力用戶。簡單</w:t>
            </w:r>
            <w:proofErr w:type="gramStart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來說輸配</w:t>
            </w:r>
            <w:proofErr w:type="gramEnd"/>
            <w:r w:rsidRPr="00F60BD1">
              <w:rPr>
                <w:rFonts w:ascii="Times New Roman" w:eastAsia="標楷體" w:hAnsi="Times New Roman" w:hint="eastAsia"/>
                <w:sz w:val="28"/>
                <w:szCs w:val="24"/>
              </w:rPr>
              <w:t>電業即是電力系統的物流業者，電能所需要的傳輸與配送，都必須仰賴輸配電業來送電。</w:t>
            </w:r>
          </w:p>
          <w:p w14:paraId="4A57F3C3" w14:textId="17ADD73A" w:rsidR="00FA27A6" w:rsidRPr="00FA27A6" w:rsidRDefault="00FA27A6" w:rsidP="00FA27A6">
            <w:pPr>
              <w:widowControl/>
              <w:spacing w:after="160" w:line="259" w:lineRule="auto"/>
              <w:rPr>
                <w:rFonts w:ascii="Times New Roman" w:eastAsia="標楷體" w:hAnsi="Times New Roman" w:hint="eastAsia"/>
                <w:sz w:val="28"/>
                <w:szCs w:val="24"/>
              </w:rPr>
            </w:pPr>
            <w:proofErr w:type="gramStart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在綠電先行</w:t>
            </w:r>
            <w:proofErr w:type="gramEnd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的政策推動下，再生能源業者</w:t>
            </w:r>
            <w:proofErr w:type="gramStart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與綠電需求</w:t>
            </w:r>
            <w:proofErr w:type="gramEnd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者，雙方可自行</w:t>
            </w:r>
            <w:proofErr w:type="gramStart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協議綠電買賣</w:t>
            </w:r>
            <w:proofErr w:type="gramEnd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價格，並可透過台電輸配電業之電力網或自建線路將電能</w:t>
            </w:r>
            <w:proofErr w:type="gramStart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送至用電</w:t>
            </w:r>
            <w:proofErr w:type="gramEnd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地點，台電公司則依電</w:t>
            </w:r>
            <w:proofErr w:type="gramStart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業法酌收</w:t>
            </w:r>
            <w:proofErr w:type="gramEnd"/>
            <w:r w:rsidRPr="00AB7354">
              <w:rPr>
                <w:rFonts w:ascii="Times New Roman" w:eastAsia="標楷體" w:hAnsi="Times New Roman" w:hint="eastAsia"/>
                <w:sz w:val="28"/>
                <w:szCs w:val="24"/>
              </w:rPr>
              <w:t>電網使用費、輔助服務費及電力調度費，其中的費率單價是每年由電價審議會審議通過。</w:t>
            </w:r>
          </w:p>
        </w:tc>
      </w:tr>
      <w:tr w:rsidR="00AB7354" w:rsidRPr="00013B1E" w14:paraId="23A791FE" w14:textId="77777777" w:rsidTr="00F70305">
        <w:tc>
          <w:tcPr>
            <w:tcW w:w="8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B082FC" w14:textId="77777777" w:rsidR="00AB7354" w:rsidRDefault="00AB7354" w:rsidP="00AB7354">
            <w:pPr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2</w:t>
            </w:r>
          </w:p>
        </w:tc>
        <w:tc>
          <w:tcPr>
            <w:tcW w:w="28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9DEC5E" w14:textId="77777777" w:rsidR="00AB7354" w:rsidRDefault="00AB7354" w:rsidP="00AB7354">
            <w:pPr>
              <w:jc w:val="both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什麼是轉供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?</w:t>
            </w:r>
          </w:p>
        </w:tc>
        <w:tc>
          <w:tcPr>
            <w:tcW w:w="56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819E6D" w14:textId="77777777" w:rsidR="00AB7354" w:rsidRPr="00013B1E" w:rsidRDefault="00AB7354" w:rsidP="00AB7354">
            <w:pPr>
              <w:widowControl/>
              <w:snapToGrid w:val="0"/>
              <w:spacing w:after="160" w:line="360" w:lineRule="auto"/>
              <w:ind w:firstLineChars="200" w:firstLine="560"/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013B1E">
              <w:rPr>
                <w:rFonts w:ascii="Times New Roman" w:eastAsia="標楷體" w:hAnsi="Times New Roman" w:hint="eastAsia"/>
                <w:sz w:val="28"/>
                <w:szCs w:val="24"/>
              </w:rPr>
              <w:t>「轉供」是指透過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台電</w:t>
            </w:r>
            <w:r w:rsidRPr="00013B1E">
              <w:rPr>
                <w:rFonts w:ascii="Times New Roman" w:eastAsia="標楷體" w:hAnsi="Times New Roman" w:hint="eastAsia"/>
                <w:sz w:val="28"/>
                <w:szCs w:val="24"/>
              </w:rPr>
              <w:t>輸配電業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之</w:t>
            </w:r>
            <w:r w:rsidRPr="00013B1E">
              <w:rPr>
                <w:rFonts w:ascii="Times New Roman" w:eastAsia="標楷體" w:hAnsi="Times New Roman" w:hint="eastAsia"/>
                <w:sz w:val="28"/>
                <w:szCs w:val="24"/>
              </w:rPr>
              <w:t>電力網，傳輸電能之行為。</w:t>
            </w:r>
          </w:p>
        </w:tc>
      </w:tr>
      <w:tr w:rsidR="00AB7354" w:rsidRPr="00FE5E19" w14:paraId="07A3D32D" w14:textId="77777777" w:rsidTr="00F70305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8814E" w14:textId="5979118E" w:rsidR="00AB7354" w:rsidRDefault="00AB7354" w:rsidP="00AB7354">
            <w:pPr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58AD7" w14:textId="77777777" w:rsidR="00AB7354" w:rsidRDefault="00AB7354" w:rsidP="00AB7354">
            <w:pPr>
              <w:jc w:val="both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什麼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4"/>
              </w:rPr>
              <w:t>是直供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4"/>
              </w:rPr>
              <w:t>?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3D89" w14:textId="77777777" w:rsidR="00AB7354" w:rsidRPr="00FE5E19" w:rsidRDefault="00AB7354" w:rsidP="00AB7354">
            <w:pPr>
              <w:widowControl/>
              <w:snapToGrid w:val="0"/>
              <w:spacing w:after="160" w:line="360" w:lineRule="auto"/>
              <w:ind w:firstLineChars="200" w:firstLine="560"/>
              <w:rPr>
                <w:rFonts w:ascii="Times New Roman" w:eastAsia="標楷體" w:hAnsi="Times New Roman"/>
                <w:sz w:val="28"/>
                <w:szCs w:val="24"/>
              </w:rPr>
            </w:pPr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「</w:t>
            </w:r>
            <w:proofErr w:type="gramStart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直供</w:t>
            </w:r>
            <w:proofErr w:type="gramEnd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」是指再生能源發電業直接供電予用戶者，即自建線路進行送電，而</w:t>
            </w:r>
            <w:proofErr w:type="gramStart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直供又</w:t>
            </w:r>
            <w:proofErr w:type="gramEnd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可分為「</w:t>
            </w:r>
            <w:proofErr w:type="gramStart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併網型直供</w:t>
            </w:r>
            <w:proofErr w:type="gramEnd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」與「獨立</w:t>
            </w:r>
            <w:proofErr w:type="gramStart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型直供</w:t>
            </w:r>
            <w:proofErr w:type="gramEnd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」</w:t>
            </w:r>
          </w:p>
          <w:p w14:paraId="5E618C1B" w14:textId="77777777" w:rsidR="00AB7354" w:rsidRPr="00FE5E19" w:rsidRDefault="00AB7354" w:rsidP="00AB7354">
            <w:pPr>
              <w:widowControl/>
              <w:snapToGrid w:val="0"/>
              <w:spacing w:after="160" w:line="360" w:lineRule="auto"/>
              <w:ind w:firstLineChars="200" w:firstLine="560"/>
              <w:rPr>
                <w:rFonts w:ascii="Times New Roman" w:eastAsia="標楷體" w:hAnsi="Times New Roman"/>
                <w:sz w:val="28"/>
                <w:szCs w:val="24"/>
              </w:rPr>
            </w:pPr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所謂的「</w:t>
            </w:r>
            <w:proofErr w:type="gramStart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併網型直供</w:t>
            </w:r>
            <w:proofErr w:type="gramEnd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」是指用戶同時接受公用售電業供電，以及再生能源發電業自建電源線聯結方式直接供電，並可由輸配電業給予輔助服務。</w:t>
            </w:r>
          </w:p>
          <w:p w14:paraId="5F48D1C1" w14:textId="77777777" w:rsidR="00AB7354" w:rsidRPr="00FE5E19" w:rsidRDefault="00AB7354" w:rsidP="00AB7354">
            <w:pPr>
              <w:widowControl/>
              <w:snapToGrid w:val="0"/>
              <w:spacing w:after="160" w:line="360" w:lineRule="auto"/>
              <w:ind w:firstLineChars="200" w:firstLine="560"/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而「獨立</w:t>
            </w:r>
            <w:proofErr w:type="gramStart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型直供</w:t>
            </w:r>
            <w:proofErr w:type="gramEnd"/>
            <w:r w:rsidRPr="00FE5E19">
              <w:rPr>
                <w:rFonts w:ascii="Times New Roman" w:eastAsia="標楷體" w:hAnsi="Times New Roman" w:hint="eastAsia"/>
                <w:sz w:val="28"/>
                <w:szCs w:val="24"/>
              </w:rPr>
              <w:t>」是指用戶僅由再生能源發電業以電源線聯結方式直接供電，而未與電力網聯結者，即獨立於台電電力系統外。</w:t>
            </w:r>
          </w:p>
        </w:tc>
      </w:tr>
      <w:tr w:rsidR="00AB7354" w:rsidRPr="00F60BD1" w14:paraId="4A35B1B9" w14:textId="77777777" w:rsidTr="00F60BD1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A53C" w14:textId="0EEAD966" w:rsidR="00AB7354" w:rsidRPr="00F60BD1" w:rsidRDefault="00FA27A6" w:rsidP="00AB7354">
            <w:pPr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B9A6" w14:textId="0B8881DE" w:rsidR="00AB7354" w:rsidRPr="00F60BD1" w:rsidRDefault="00FA27A6" w:rsidP="00AB7354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誰可以向台電公司申請轉供服務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?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00C0" w14:textId="2EE6F638" w:rsidR="00AB7354" w:rsidRPr="00AB7354" w:rsidRDefault="00FA27A6" w:rsidP="00AB7354">
            <w:pPr>
              <w:widowControl/>
              <w:spacing w:after="160" w:line="259" w:lineRule="auto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再生能源發電業、再生能源售電業、自用發電設備設置者皆可提出。</w:t>
            </w:r>
          </w:p>
        </w:tc>
      </w:tr>
      <w:tr w:rsidR="00AB7354" w:rsidRPr="00F60BD1" w14:paraId="7285B554" w14:textId="77777777" w:rsidTr="00F60BD1">
        <w:trPr>
          <w:trHeight w:val="421"/>
        </w:trPr>
        <w:tc>
          <w:tcPr>
            <w:tcW w:w="8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BCF16B" w14:textId="66BAB9C5" w:rsidR="00FA27A6" w:rsidRDefault="00FA27A6" w:rsidP="00FA27A6">
            <w:pPr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8696E6" w14:textId="6DE52342" w:rsidR="00AB7354" w:rsidRPr="00F60BD1" w:rsidRDefault="007176AD" w:rsidP="00AB7354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誰可以向台電公司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直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供服務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4"/>
              </w:rPr>
              <w:t>?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57C74D" w14:textId="18DC6201" w:rsidR="00AB7354" w:rsidRPr="00F60BD1" w:rsidRDefault="007176AD" w:rsidP="00AB7354">
            <w:pPr>
              <w:widowControl/>
              <w:spacing w:after="160" w:line="259" w:lineRule="auto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再生能源發電業可提出。</w:t>
            </w:r>
          </w:p>
        </w:tc>
      </w:tr>
    </w:tbl>
    <w:p w14:paraId="71C2A58E" w14:textId="77777777" w:rsidR="00A30403" w:rsidRPr="00F60BD1" w:rsidRDefault="00A30403" w:rsidP="00A30403">
      <w:pPr>
        <w:jc w:val="both"/>
        <w:rPr>
          <w:rFonts w:ascii="Times New Roman" w:eastAsia="標楷體" w:hAnsi="Times New Roman"/>
          <w:sz w:val="28"/>
          <w:szCs w:val="24"/>
        </w:rPr>
      </w:pPr>
    </w:p>
    <w:sectPr w:rsidR="00A30403" w:rsidRPr="00F60BD1" w:rsidSect="00051837">
      <w:footerReference w:type="default" r:id="rId7"/>
      <w:pgSz w:w="11906" w:h="16838"/>
      <w:pgMar w:top="1134" w:right="1134" w:bottom="1134" w:left="1418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391A" w14:textId="77777777" w:rsidR="00E15AA2" w:rsidRDefault="00E15AA2" w:rsidP="00051837">
      <w:r>
        <w:separator/>
      </w:r>
    </w:p>
  </w:endnote>
  <w:endnote w:type="continuationSeparator" w:id="0">
    <w:p w14:paraId="6AE8510E" w14:textId="77777777" w:rsidR="00E15AA2" w:rsidRDefault="00E15AA2" w:rsidP="0005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664648"/>
      <w:docPartObj>
        <w:docPartGallery w:val="Page Numbers (Bottom of Page)"/>
        <w:docPartUnique/>
      </w:docPartObj>
    </w:sdtPr>
    <w:sdtEndPr/>
    <w:sdtContent>
      <w:p w14:paraId="7B1511B5" w14:textId="4CAFCDC0" w:rsidR="00051837" w:rsidRDefault="000518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7ABA956" w14:textId="77777777" w:rsidR="00051837" w:rsidRDefault="000518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B5E6" w14:textId="77777777" w:rsidR="00E15AA2" w:rsidRDefault="00E15AA2" w:rsidP="00051837">
      <w:r>
        <w:separator/>
      </w:r>
    </w:p>
  </w:footnote>
  <w:footnote w:type="continuationSeparator" w:id="0">
    <w:p w14:paraId="41BF9849" w14:textId="77777777" w:rsidR="00E15AA2" w:rsidRDefault="00E15AA2" w:rsidP="0005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CC"/>
    <w:rsid w:val="00013B1E"/>
    <w:rsid w:val="00051837"/>
    <w:rsid w:val="00073BC4"/>
    <w:rsid w:val="00206BA6"/>
    <w:rsid w:val="002872FC"/>
    <w:rsid w:val="002D1940"/>
    <w:rsid w:val="003C4D8B"/>
    <w:rsid w:val="003E1EA1"/>
    <w:rsid w:val="00435CB8"/>
    <w:rsid w:val="007176AD"/>
    <w:rsid w:val="00773562"/>
    <w:rsid w:val="007F3EE8"/>
    <w:rsid w:val="00852F5D"/>
    <w:rsid w:val="008D3CE4"/>
    <w:rsid w:val="009325A7"/>
    <w:rsid w:val="009B6CCC"/>
    <w:rsid w:val="00A30403"/>
    <w:rsid w:val="00AB7354"/>
    <w:rsid w:val="00B16B3B"/>
    <w:rsid w:val="00B454F5"/>
    <w:rsid w:val="00BA0614"/>
    <w:rsid w:val="00BD0A68"/>
    <w:rsid w:val="00C51D01"/>
    <w:rsid w:val="00CB71C6"/>
    <w:rsid w:val="00E15AA2"/>
    <w:rsid w:val="00F314DC"/>
    <w:rsid w:val="00F60BD1"/>
    <w:rsid w:val="00FA27A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F3F6D"/>
  <w15:chartTrackingRefBased/>
  <w15:docId w15:val="{F63151FB-BA70-4807-B0CB-B02D5F7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8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837"/>
    <w:rPr>
      <w:sz w:val="20"/>
      <w:szCs w:val="20"/>
    </w:rPr>
  </w:style>
  <w:style w:type="character" w:styleId="a8">
    <w:name w:val="Hyperlink"/>
    <w:basedOn w:val="a0"/>
    <w:uiPriority w:val="99"/>
    <w:unhideWhenUsed/>
    <w:rsid w:val="00435C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c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業務處</dc:creator>
  <cp:keywords/>
  <dc:description/>
  <cp:lastModifiedBy>系統規劃處</cp:lastModifiedBy>
  <cp:revision>2</cp:revision>
  <cp:lastPrinted>2022-03-02T08:43:00Z</cp:lastPrinted>
  <dcterms:created xsi:type="dcterms:W3CDTF">2022-03-07T06:49:00Z</dcterms:created>
  <dcterms:modified xsi:type="dcterms:W3CDTF">2022-03-07T06:49:00Z</dcterms:modified>
</cp:coreProperties>
</file>